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Sintesi del regolamento di distribuzione degli incentivi</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RinnovAnguillara </w:t>
      </w:r>
      <w:r w:rsidDel="00000000" w:rsidR="00000000" w:rsidRPr="00000000">
        <w:rPr>
          <w:rFonts w:ascii="Times New Roman" w:cs="Times New Roman" w:eastAsia="Times New Roman" w:hAnsi="Times New Roman"/>
          <w:color w:val="000000"/>
          <w:sz w:val="24"/>
          <w:szCs w:val="24"/>
          <w:rtl w:val="0"/>
        </w:rPr>
        <w:t xml:space="preserve">è una comunità energetica rinnovabile E SOLIDALE (CERS). Il suo scopo è quello di contribuire a ridurre il riscaldamento climatico e a creare relazioni di reciproco aiuto tra persone e famiglie attraverso lo scambio di energia rinnovabile tra produttori e consumatori, e la distribuzione degli incentivi generati grazie a questo scambio.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 Stato riconosce infatti alle comunità degli incentivi monetari. Le norme prevedono il pagamento alle comunità di “importi derivanti dalla condivisione dell’energia”, che saranno gestiti da RinnovAnguillara secondo un regolamento interno che è stato approvato dall’Assemblea dei Soci.</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Il regolamento di RinnovAnguillara prevede la seguente d</w:t>
      </w:r>
      <w:r w:rsidDel="00000000" w:rsidR="00000000" w:rsidRPr="00000000">
        <w:rPr>
          <w:rFonts w:ascii="Times New Roman" w:cs="Times New Roman" w:eastAsia="Times New Roman" w:hAnsi="Times New Roman"/>
          <w:b w:val="1"/>
          <w:color w:val="000000"/>
          <w:sz w:val="24"/>
          <w:szCs w:val="24"/>
          <w:rtl w:val="0"/>
        </w:rPr>
        <w:t xml:space="preserve">estinazione degli importi derivanti dalla condivisione dell’energia. </w:t>
      </w:r>
      <w:r w:rsidDel="00000000" w:rsidR="00000000" w:rsidRPr="00000000">
        <w:rPr>
          <w:rFonts w:ascii="Times New Roman" w:cs="Times New Roman" w:eastAsia="Times New Roman" w:hAnsi="Times New Roman"/>
          <w:color w:val="000000"/>
          <w:sz w:val="24"/>
          <w:szCs w:val="24"/>
          <w:rtl w:val="0"/>
        </w:rPr>
        <w:t xml:space="preserve">Gli importi saranno destinati alla copertura dei costi per il funzionamento della Comunità, e soprattutto</w:t>
      </w:r>
      <w:r w:rsidDel="00000000" w:rsidR="00000000" w:rsidRPr="00000000">
        <w:rPr>
          <w:rFonts w:ascii="Times New Roman" w:cs="Times New Roman" w:eastAsia="Times New Roman" w:hAnsi="Times New Roman"/>
          <w:sz w:val="24"/>
          <w:szCs w:val="24"/>
          <w:rtl w:val="0"/>
        </w:rPr>
        <w:t xml:space="preserve"> alle finalità istituzionali della Comunità ovvero:</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 il (a) 40% </w:t>
      </w:r>
      <w:r w:rsidDel="00000000" w:rsidR="00000000" w:rsidRPr="00000000">
        <w:rPr>
          <w:rFonts w:ascii="Times New Roman" w:cs="Times New Roman" w:eastAsia="Times New Roman" w:hAnsi="Times New Roman"/>
          <w:b w:val="1"/>
          <w:sz w:val="24"/>
          <w:szCs w:val="24"/>
          <w:rtl w:val="0"/>
        </w:rPr>
        <w:t xml:space="preserve">ai soci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secondo un criterio di </w:t>
      </w:r>
      <w:r w:rsidDel="00000000" w:rsidR="00000000" w:rsidRPr="00000000">
        <w:rPr>
          <w:rFonts w:ascii="Times New Roman" w:cs="Times New Roman" w:eastAsia="Times New Roman" w:hAnsi="Times New Roman"/>
          <w:sz w:val="24"/>
          <w:szCs w:val="24"/>
          <w:rtl w:val="0"/>
        </w:rPr>
        <w:t xml:space="preserve">promozione dei produttori di energia rinnovabile e del consumo virtuoso, e consiste nella distribuzione ai soci di rimborsi in denaro al fine di orientare i partecipanti alla CERS verso l’installazione di nuovi impianti e verso lo spostamento dei consumi nelle ore di produzione.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20" w:line="240" w:lineRule="auto"/>
        <w:ind w:right="11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La ripartizione di tale quota, secondo un calcolo ad hoc, rimborsa </w:t>
      </w:r>
      <w:r w:rsidDel="00000000" w:rsidR="00000000" w:rsidRPr="00000000">
        <w:rPr>
          <w:rFonts w:ascii="Times New Roman" w:cs="Times New Roman" w:eastAsia="Times New Roman" w:hAnsi="Times New Roman"/>
          <w:b w:val="1"/>
          <w:sz w:val="24"/>
          <w:szCs w:val="24"/>
          <w:rtl w:val="0"/>
        </w:rPr>
        <w:t xml:space="preserve">i produttori</w:t>
      </w:r>
      <w:r w:rsidDel="00000000" w:rsidR="00000000" w:rsidRPr="00000000">
        <w:rPr>
          <w:rFonts w:ascii="Times New Roman" w:cs="Times New Roman" w:eastAsia="Times New Roman" w:hAnsi="Times New Roman"/>
          <w:sz w:val="24"/>
          <w:szCs w:val="24"/>
          <w:rtl w:val="0"/>
        </w:rPr>
        <w:t xml:space="preserve"> per il loro impegno economico a realizzare impianti di produzione di energia rinnovabile che diano un apporto significativo alla comunità ma anche dei </w:t>
      </w:r>
      <w:r w:rsidDel="00000000" w:rsidR="00000000" w:rsidRPr="00000000">
        <w:rPr>
          <w:rFonts w:ascii="Times New Roman" w:cs="Times New Roman" w:eastAsia="Times New Roman" w:hAnsi="Times New Roman"/>
          <w:b w:val="1"/>
          <w:sz w:val="24"/>
          <w:szCs w:val="24"/>
          <w:rtl w:val="0"/>
        </w:rPr>
        <w:t xml:space="preserve">consumatori</w:t>
      </w:r>
      <w:r w:rsidDel="00000000" w:rsidR="00000000" w:rsidRPr="00000000">
        <w:rPr>
          <w:rFonts w:ascii="Times New Roman" w:cs="Times New Roman" w:eastAsia="Times New Roman" w:hAnsi="Times New Roman"/>
          <w:sz w:val="24"/>
          <w:szCs w:val="24"/>
          <w:rtl w:val="0"/>
        </w:rPr>
        <w:t xml:space="preserve"> in modo da invogliarli ad entrare nella CERS e a bilanciare il consumo con la produzione. Per quanto riguarda la parte di consumo, verrà remunerata esclusivamente la porzione di “consumo virtuoso” che partecipa alla determinazione degli incentivi, ossia quella che avviene nelle ore di produzione degli impianti di energia rinnovabile (per esempio, nel caso di fotovoltaico il consumo che avviene nelle ore “solari”).</w:t>
      </w:r>
      <w:r w:rsidDel="00000000" w:rsidR="00000000" w:rsidRPr="00000000">
        <w:rPr>
          <w:rtl w:val="0"/>
        </w:rPr>
      </w:r>
    </w:p>
    <w:p w:rsidR="00000000" w:rsidDel="00000000" w:rsidP="00000000" w:rsidRDefault="00000000" w:rsidRPr="00000000" w14:paraId="00000008">
      <w:pPr>
        <w:ind w:right="11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 per il (b) 60% a </w:t>
      </w:r>
      <w:r w:rsidDel="00000000" w:rsidR="00000000" w:rsidRPr="00000000">
        <w:rPr>
          <w:rFonts w:ascii="Times New Roman" w:cs="Times New Roman" w:eastAsia="Times New Roman" w:hAnsi="Times New Roman"/>
          <w:b w:val="1"/>
          <w:sz w:val="24"/>
          <w:szCs w:val="24"/>
          <w:rtl w:val="0"/>
        </w:rPr>
        <w:t xml:space="preserve">iniziative benefiche</w:t>
      </w:r>
      <w:r w:rsidDel="00000000" w:rsidR="00000000" w:rsidRPr="00000000">
        <w:rPr>
          <w:rFonts w:ascii="Times New Roman" w:cs="Times New Roman" w:eastAsia="Times New Roman" w:hAnsi="Times New Roman"/>
          <w:sz w:val="24"/>
          <w:szCs w:val="24"/>
          <w:rtl w:val="0"/>
        </w:rPr>
        <w:t xml:space="preserve"> ambientali, economiche e sociali per la comunità e per il territorio di Anguillara Sabazia, anche al fine di eliminare o ridurre situazioni di povertà energetica. Queste iniziative saranno discusse ed approvate dall’Assemblea dei Soci</w:t>
      </w:r>
      <w:r w:rsidDel="00000000" w:rsidR="00000000" w:rsidRPr="00000000">
        <w:rPr>
          <w:rtl w:val="0"/>
        </w:rPr>
      </w:r>
    </w:p>
    <w:p w:rsidR="00000000" w:rsidDel="00000000" w:rsidP="00000000" w:rsidRDefault="00000000" w:rsidRPr="00000000" w14:paraId="00000009">
      <w:pPr>
        <w:spacing w:after="120" w:line="240" w:lineRule="auto"/>
        <w:ind w:right="1989"/>
        <w:rPr>
          <w:rFonts w:ascii="Times New Roman" w:cs="Times New Roman" w:eastAsia="Times New Roman" w:hAnsi="Times New Roman"/>
          <w:sz w:val="24"/>
          <w:szCs w:val="24"/>
        </w:rPr>
      </w:pPr>
      <w:r w:rsidDel="00000000" w:rsidR="00000000" w:rsidRPr="00000000">
        <w:rPr>
          <w:rtl w:val="0"/>
        </w:rPr>
      </w:r>
    </w:p>
    <w:sectPr>
      <w:pgSz w:h="16840" w:w="11900" w:orient="portrait"/>
      <w:pgMar w:bottom="200" w:top="1460" w:left="980" w:right="0" w:header="0" w:footer="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